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ТРИТОНЫ В ГАРМОНИЧЕСКОМ МАЖОРЕ 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29258" cy="128310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258" cy="1283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 ув.4 и ум.5 с разрешением </w:t>
      </w:r>
      <w:r w:rsidDel="00000000" w:rsidR="00000000" w:rsidRPr="00000000">
        <w:rPr>
          <w:sz w:val="26"/>
          <w:szCs w:val="26"/>
          <w:rtl w:val="0"/>
        </w:rPr>
        <w:t xml:space="preserve">в гармоническом: Ля мажоре, Ре мажоре, Си-бемоль мажоре, Фа-мажоре в данных тональностях.</w:t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Построенные интервалы и их разрешения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пропеть</w:t>
      </w:r>
      <w:r w:rsidDel="00000000" w:rsidR="00000000" w:rsidRPr="00000000">
        <w:rPr>
          <w:sz w:val="26"/>
          <w:szCs w:val="26"/>
          <w:rtl w:val="0"/>
        </w:rPr>
        <w:t xml:space="preserve"> с инструментом так, чтобы нижний звук интервала Вы пели, а верхний играли в то же время на инструменте. Затем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поменять голоса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C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