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ПАУЗЫ</w:t>
      </w:r>
      <w:r w:rsidDel="00000000" w:rsidR="00000000" w:rsidRPr="00000000">
        <w:rPr>
          <w:sz w:val="26"/>
          <w:szCs w:val="26"/>
          <w:rtl w:val="0"/>
        </w:rPr>
        <w:t xml:space="preserve"> и то, как мы их считаем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(точно так же, как и нотки этих же длительностей).</w:t>
      </w:r>
    </w:p>
    <w:p w:rsidR="00000000" w:rsidDel="00000000" w:rsidP="00000000" w:rsidRDefault="00000000" w:rsidRPr="00000000" w14:paraId="00000004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329238" cy="34194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</w:t>
      </w:r>
      <w:r w:rsidDel="00000000" w:rsidR="00000000" w:rsidRPr="00000000">
        <w:rPr>
          <w:sz w:val="26"/>
          <w:szCs w:val="26"/>
          <w:rtl w:val="0"/>
        </w:rPr>
        <w:t xml:space="preserve">в тетрадь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решить</w:t>
      </w:r>
      <w:r w:rsidDel="00000000" w:rsidR="00000000" w:rsidRPr="00000000">
        <w:rPr>
          <w:sz w:val="26"/>
          <w:szCs w:val="26"/>
          <w:rtl w:val="0"/>
        </w:rPr>
        <w:t xml:space="preserve"> данные музыкально-математические примеры.                              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(Например в первом примере у нас встречаются 2 четвертные паузы. А мы знаем, что 2 четверти по длительности равны 1 половинной ноте. Поэтому в первом примере мы в ответе запишем половинную паузу и т.д.)</w:t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57750" cy="2400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