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контрольной работе и повторить все темы за пройденную четверть:</w:t>
      </w:r>
    </w:p>
    <w:p w:rsidR="00000000" w:rsidDel="00000000" w:rsidP="00000000" w:rsidRDefault="00000000" w:rsidRPr="00000000" w14:paraId="00000004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VII7 (Малый вводный септаккорд VII ступени)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с обращениями и разрешениями </w:t>
      </w: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в натуральном мажоре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081463" cy="11448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11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УмVII7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(Уменьшенный вводный септаккорд VII ступени)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с обращениями и разрешениями </w:t>
      </w: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в гармоническом мажоре и гармоническом миноре.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Правило круга при разрешении УмVII7 в T через D7.</w:t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При разрешении УмVII7 и его обращений сразу в тонику</w:t>
      </w:r>
    </w:p>
    <w:p w:rsidR="00000000" w:rsidDel="00000000" w:rsidP="00000000" w:rsidRDefault="00000000" w:rsidRPr="00000000" w14:paraId="0000000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3500438" cy="224523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2245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(В До мажоре гармоническом разрешение точно такое же)</w:t>
      </w:r>
    </w:p>
    <w:p w:rsidR="00000000" w:rsidDel="00000000" w:rsidP="00000000" w:rsidRDefault="00000000" w:rsidRPr="00000000" w14:paraId="0000000F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При разрешении УмVII7 и его обращений в тонику через D7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(пользуемся правилом круга) </w:t>
      </w: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2034937" cy="1067344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4937" cy="106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3986213" cy="2223247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6213" cy="22232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В до миноре гармоническом мы так же переходим от УмVII7 в аккорд D7 по правилу круга)</w:t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Гармонические обороты</w:t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Гармонические обороты - сочетание разных аккордов.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Автентический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доминанты. (T-D, D-T, T-D-T)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Плагальный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субдоминанты. (T-S, S-T, T-S-T)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Полный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тоники, субдоминанты и доминанты. (T-S-D-T)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Прерванный оборот </w:t>
      </w:r>
      <w:r w:rsidDel="00000000" w:rsidR="00000000" w:rsidRPr="00000000">
        <w:rPr>
          <w:sz w:val="26"/>
          <w:szCs w:val="26"/>
          <w:rtl w:val="0"/>
        </w:rPr>
        <w:t xml:space="preserve">- когда в полном обороте D7 разрешается не в тонику, как принято, а в другой аккорд, чаще всего в VI53)</w:t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Примеры построения этих оборотов в До мажоре:</w:t>
      </w:r>
    </w:p>
    <w:p w:rsidR="00000000" w:rsidDel="00000000" w:rsidP="00000000" w:rsidRDefault="00000000" w:rsidRPr="00000000" w14:paraId="0000001E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4732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362200" cy="123825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Гармонический анализ</w:t>
      </w:r>
    </w:p>
    <w:p w:rsidR="00000000" w:rsidDel="00000000" w:rsidP="00000000" w:rsidRDefault="00000000" w:rsidRPr="00000000" w14:paraId="00000020">
      <w:pPr>
        <w:ind w:left="0" w:firstLine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Как мы выполняем гармонический анализ?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Сначала определяем количество тактов и в тетради делаем соответствующую сетку из пустых тактов (как для диктанта на сольфеджио).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тональный план (тональность, отклонения, модуляции).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функционально каждый аккорд (от какой ступени построен, какой функции этот аккорд). Функций у аккордов всего 3 - это тоника (Т), субдоминанта (S) и доминанта (D).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Особое внимание обращаем на басовый звук аккорда - самый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нижний звук аккорда,</w:t>
      </w:r>
      <w:r w:rsidDel="00000000" w:rsidR="00000000" w:rsidRPr="00000000">
        <w:rPr>
          <w:i w:val="1"/>
          <w:sz w:val="26"/>
          <w:szCs w:val="26"/>
          <w:rtl w:val="0"/>
        </w:rPr>
        <w:t xml:space="preserve"> с помощью него мы можем определить, обращение перед нами или аккорд в основном виде.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Сколько аккордовых “столбов” - столько обозначений аккордов должно быть записано в тетради, даже если аккорды повторяются и идут друг за другом.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3E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2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2" Type="http://schemas.openxmlformats.org/officeDocument/2006/relationships/hyperlink" Target="mailto:darsert.solf@gmail.com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