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 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ТРИОЛИ.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Триоли - </w:t>
      </w:r>
      <w:r w:rsidDel="00000000" w:rsidR="00000000" w:rsidRPr="00000000">
        <w:rPr>
          <w:sz w:val="26"/>
          <w:szCs w:val="26"/>
          <w:rtl w:val="0"/>
        </w:rPr>
        <w:t xml:space="preserve">группа из 3 нот одинаковой длительности, по времени звучания в сумме равная 2 нотам той же длительности.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90750" cy="762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Т.е. в заданном размере на одну долю приходится 3 равных ноты, а не 2.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нотной записи над триолью ставится цифра 3 над или под группой нот, объединенных чертой или квадратной скобкой.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Простучите данный ритм</w:t>
      </w:r>
      <w:r w:rsidDel="00000000" w:rsidR="00000000" w:rsidRPr="00000000">
        <w:rPr>
          <w:sz w:val="26"/>
          <w:szCs w:val="26"/>
          <w:rtl w:val="0"/>
        </w:rPr>
        <w:t xml:space="preserve">, параллельно отстукивая каждую долю ногой (на Раз и на Два). Затем поменяйте местами руку и ногу и простучите то же самое.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62663" cy="1289071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2663" cy="1289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и 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за эту четверть темы (+триоли):</w:t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Ми мажор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</w:rPr>
        <w:drawing>
          <wp:inline distB="114300" distT="114300" distL="114300" distR="114300">
            <wp:extent cx="5731200" cy="1778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До-диез минор</w:t>
      </w:r>
    </w:p>
    <w:p w:rsidR="00000000" w:rsidDel="00000000" w:rsidP="00000000" w:rsidRDefault="00000000" w:rsidRPr="00000000" w14:paraId="00000014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</w:rPr>
        <w:drawing>
          <wp:inline distB="114300" distT="114300" distL="114300" distR="114300">
            <wp:extent cx="3833813" cy="178098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780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Тритоны в гармоническом и натуральном мажоре и миноре</w:t>
      </w:r>
      <w:r w:rsidDel="00000000" w:rsidR="00000000" w:rsidRPr="00000000">
        <w:rPr>
          <w:sz w:val="26"/>
          <w:szCs w:val="26"/>
          <w:u w:val="single"/>
        </w:rPr>
        <w:drawing>
          <wp:inline distB="114300" distT="114300" distL="114300" distR="114300">
            <wp:extent cx="4762500" cy="16478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Повторите также, как тритоны разрешаются, в какие интервалы.</w:t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9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