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пройденную тональность - </w:t>
      </w:r>
      <w:r w:rsidDel="00000000" w:rsidR="00000000" w:rsidRPr="00000000">
        <w:rPr>
          <w:b w:val="1"/>
          <w:sz w:val="26"/>
          <w:szCs w:val="26"/>
          <w:rtl w:val="0"/>
        </w:rPr>
        <w:t xml:space="preserve">dis-moll </w:t>
      </w:r>
      <w:r w:rsidDel="00000000" w:rsidR="00000000" w:rsidRPr="00000000">
        <w:rPr>
          <w:sz w:val="26"/>
          <w:szCs w:val="26"/>
          <w:rtl w:val="0"/>
        </w:rPr>
        <w:t xml:space="preserve">(ре-диез минор)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Поем гамму вверх и вниз в натуральном, гармоническом виде и мелодическом виде, Т53, опеваем устойчивые звуки в этой тональности.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Дописать аккордовый аккомпанемент к данной мелодии в dis-moll в тетради.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391275" cy="166834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6683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Петь 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данную мелодию и одновременно </w:t>
      </w: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играть в аккомпанементе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построенные аккорды.</w:t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shd w:fill="f0f2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