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ТРИТОНЫ В НАТУРАЛЬНОМ МАЖОРЕ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Тритоны</w:t>
      </w:r>
      <w:r w:rsidDel="00000000" w:rsidR="00000000" w:rsidRPr="00000000">
        <w:rPr>
          <w:sz w:val="26"/>
          <w:szCs w:val="26"/>
          <w:rtl w:val="0"/>
        </w:rPr>
        <w:t xml:space="preserve"> в музыке - интервалы, состоящие из 3 тонов.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 тритонам относятся два интервала –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уменьшенная квинта (ум. 5)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увеличенная кварта (ув.4)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звучат одинаково, несмотря на разную запись и название. 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мажоре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IV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VII.</w:t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Звуки тритонов в тональности состоят только из неустойчивых звуков, поэтому неустойчивые звуки тритонов нужно всегда разрешать в устойчивые!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805113" cy="120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20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 ув.4 и ум.5 с разрешением </w:t>
      </w:r>
      <w:r w:rsidDel="00000000" w:rsidR="00000000" w:rsidRPr="00000000">
        <w:rPr>
          <w:sz w:val="26"/>
          <w:szCs w:val="26"/>
          <w:rtl w:val="0"/>
        </w:rPr>
        <w:t xml:space="preserve">в тональностях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Ля мажор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Ми-бемоль мажор</w:t>
      </w:r>
      <w:r w:rsidDel="00000000" w:rsidR="00000000" w:rsidRPr="00000000">
        <w:rPr>
          <w:sz w:val="26"/>
          <w:szCs w:val="26"/>
          <w:rtl w:val="0"/>
        </w:rPr>
        <w:t xml:space="preserve"> так, как указано на примере выше в До мажоре.</w:t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интервалы вместе с разрешениями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играть на своем инструменте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(при игре не забывайте про ключевые знаки этих тональностей).</w:t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