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6 класс</w:t>
      </w:r>
    </w:p>
    <w:p w:rsidR="00000000" w:rsidDel="00000000" w:rsidP="00000000" w:rsidRDefault="00000000" w:rsidRPr="00000000" w14:paraId="00000002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Выполнить в тетради гармонический анализ</w:t>
      </w:r>
      <w:r w:rsidDel="00000000" w:rsidR="00000000" w:rsidRPr="00000000">
        <w:rPr>
          <w:sz w:val="26"/>
          <w:szCs w:val="26"/>
          <w:rtl w:val="0"/>
        </w:rPr>
        <w:t xml:space="preserve"> музыкального фрагмента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119173" cy="186837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173" cy="18683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i w:val="1"/>
          <w:sz w:val="26"/>
          <w:szCs w:val="26"/>
          <w:u w:val="single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Как мы выполняем гармонический анализ?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Сначала определяем количество тактов и в тетради делаем соответствующую сетку из пустых тактов (как для диктанта на сольфеджио)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Определяем тональный план (тональность, отклонения, модуляции)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Определяем функционально каждый аккорд (от какой ступени построен, какой функции этот аккорд)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Особое внимание обращаем на 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басовый звук аккорда</w:t>
      </w:r>
      <w:r w:rsidDel="00000000" w:rsidR="00000000" w:rsidRPr="00000000">
        <w:rPr>
          <w:i w:val="1"/>
          <w:sz w:val="26"/>
          <w:szCs w:val="26"/>
          <w:rtl w:val="0"/>
        </w:rPr>
        <w:t xml:space="preserve"> - самый нижний звук аккорда, с помощью него мы можем определить, обращение перед нами или аккорд в основном виде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Сколько аккордовых “столбов” - столько обозначений аккордов должно быть записано в тетради, даже если аккорды повторяются и идут друг за другом.</w:t>
      </w:r>
    </w:p>
    <w:p w:rsidR="00000000" w:rsidDel="00000000" w:rsidP="00000000" w:rsidRDefault="00000000" w:rsidRPr="00000000" w14:paraId="0000000D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3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rsert.solf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