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тему - ТРИТОНЫ В НАТУРАЛЬНОМ МАЖОРЕ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Тритоны</w:t>
      </w:r>
      <w:r w:rsidDel="00000000" w:rsidR="00000000" w:rsidRPr="00000000">
        <w:rPr>
          <w:sz w:val="26"/>
          <w:szCs w:val="26"/>
          <w:rtl w:val="0"/>
        </w:rPr>
        <w:t xml:space="preserve"> в музыке - интервалы, состоящие из 3 тонов.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К тритонам относятся два интервала –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уменьшенная квинта (ум. 5)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и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увеличенная кварта (ув.4)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Тритоны звучат одинаково, несмотря на разную запись и название. </w:t>
      </w:r>
    </w:p>
    <w:p w:rsidR="00000000" w:rsidDel="00000000" w:rsidP="00000000" w:rsidRDefault="00000000" w:rsidRPr="00000000" w14:paraId="00000007">
      <w:pPr>
        <w:ind w:left="0" w:firstLine="0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Тритоны строятся строго на определенных ступенях в тональности. Например, в натуральном мажоре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ув.4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строится на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IV ступени, а ум.5 -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на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VII.</w:t>
      </w:r>
    </w:p>
    <w:p w:rsidR="00000000" w:rsidDel="00000000" w:rsidP="00000000" w:rsidRDefault="00000000" w:rsidRPr="00000000" w14:paraId="00000008">
      <w:pPr>
        <w:ind w:left="0" w:firstLine="0"/>
        <w:rPr>
          <w:rFonts w:ascii="Verdana" w:cs="Verdana" w:eastAsia="Verdana" w:hAnsi="Verdan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Звуки тритонов в тональности состоят только из неустойчивых звуков, поэтому 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rtl w:val="0"/>
        </w:rPr>
        <w:t xml:space="preserve">неустойчивые звуки тритонов нужно всегда разрешать в устойчивые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! </w:t>
      </w:r>
    </w:p>
    <w:p w:rsidR="00000000" w:rsidDel="00000000" w:rsidP="00000000" w:rsidRDefault="00000000" w:rsidRPr="00000000" w14:paraId="0000000A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Пример построения и разрешения тритонов в натуральном До мажоре:</w:t>
      </w:r>
    </w:p>
    <w:p w:rsidR="00000000" w:rsidDel="00000000" w:rsidP="00000000" w:rsidRDefault="00000000" w:rsidRPr="00000000" w14:paraId="0000000B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2805113" cy="1209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120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</w:t>
      </w:r>
      <w:r w:rsidDel="00000000" w:rsidR="00000000" w:rsidRPr="00000000">
        <w:rPr>
          <w:sz w:val="26"/>
          <w:szCs w:val="26"/>
          <w:rtl w:val="0"/>
        </w:rPr>
        <w:t xml:space="preserve"> данную заготовку в тетрадь, определите тональность.</w:t>
      </w:r>
    </w:p>
    <w:p w:rsidR="00000000" w:rsidDel="00000000" w:rsidP="00000000" w:rsidRDefault="00000000" w:rsidRPr="00000000" w14:paraId="0000000F">
      <w:pPr>
        <w:ind w:left="72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Допишите</w:t>
      </w:r>
      <w:r w:rsidDel="00000000" w:rsidR="00000000" w:rsidRPr="00000000">
        <w:rPr>
          <w:sz w:val="26"/>
          <w:szCs w:val="26"/>
          <w:rtl w:val="0"/>
        </w:rPr>
        <w:t xml:space="preserve"> нужные звуки в </w:t>
      </w:r>
      <w:r w:rsidDel="00000000" w:rsidR="00000000" w:rsidRPr="00000000">
        <w:rPr>
          <w:b w:val="1"/>
          <w:sz w:val="26"/>
          <w:szCs w:val="26"/>
          <w:rtl w:val="0"/>
        </w:rPr>
        <w:t xml:space="preserve">верхнем голосе</w:t>
      </w:r>
      <w:r w:rsidDel="00000000" w:rsidR="00000000" w:rsidRPr="00000000">
        <w:rPr>
          <w:sz w:val="26"/>
          <w:szCs w:val="26"/>
          <w:rtl w:val="0"/>
        </w:rPr>
        <w:t xml:space="preserve">, чтобы образовались указанные интервалы. Обведите тритоны и подпишите их.</w:t>
      </w:r>
    </w:p>
    <w:p w:rsidR="00000000" w:rsidDel="00000000" w:rsidP="00000000" w:rsidRDefault="00000000" w:rsidRPr="00000000" w14:paraId="0000001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548599" cy="90925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48599" cy="9092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Спеть с инструментом</w:t>
      </w:r>
      <w:r w:rsidDel="00000000" w:rsidR="00000000" w:rsidRPr="00000000">
        <w:rPr>
          <w:sz w:val="26"/>
          <w:szCs w:val="26"/>
          <w:rtl w:val="0"/>
        </w:rPr>
        <w:t xml:space="preserve"> каждый голос, как одноголосие - сначала отдельно верхний голос, затем - отдельно нижний.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то же самое уже без инструмента и с дирижированием обязательно. На уроке буду спрашивать.</w:t>
      </w:r>
    </w:p>
    <w:p w:rsidR="00000000" w:rsidDel="00000000" w:rsidP="00000000" w:rsidRDefault="00000000" w:rsidRPr="00000000" w14:paraId="0000001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