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7 класс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новую тему - </w:t>
      </w:r>
      <w:r w:rsidDel="00000000" w:rsidR="00000000" w:rsidRPr="00000000">
        <w:rPr>
          <w:sz w:val="26"/>
          <w:szCs w:val="26"/>
          <w:rtl w:val="0"/>
        </w:rPr>
        <w:t xml:space="preserve">ПЕНТАТОНИКА.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Пентатоника - лад, состоящий из 5 звуков.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Особенность этого лада – отсутствие в его составе полутонов (м2) и ступеней, образующих тритоны. Наибольшее применение получили 2 вида пентатоники: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6"/>
          <w:szCs w:val="26"/>
          <w:highlight w:val="white"/>
          <w:u w:val="none"/>
        </w:rPr>
      </w:pPr>
      <w:r w:rsidDel="00000000" w:rsidR="00000000" w:rsidRPr="00000000">
        <w:rPr>
          <w:i w:val="1"/>
          <w:sz w:val="26"/>
          <w:szCs w:val="26"/>
          <w:highlight w:val="white"/>
          <w:u w:val="single"/>
          <w:rtl w:val="0"/>
        </w:rPr>
        <w:t xml:space="preserve">Мажорная пентатоника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– пентатоника с мажорным трезвучием от I ступени. Её строение: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1т-1т-1,5т-1т-1,5т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В мажорной пентатонике по сравнению с обычной мажорной гаммой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отсутствуют IV и VII ступени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</w:rPr>
        <w:drawing>
          <wp:inline distB="114300" distT="114300" distL="114300" distR="114300">
            <wp:extent cx="2662238" cy="87286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872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6"/>
          <w:szCs w:val="26"/>
          <w:highlight w:val="white"/>
          <w:u w:val="none"/>
        </w:rPr>
      </w:pPr>
      <w:r w:rsidDel="00000000" w:rsidR="00000000" w:rsidRPr="00000000">
        <w:rPr>
          <w:i w:val="1"/>
          <w:sz w:val="26"/>
          <w:szCs w:val="26"/>
          <w:highlight w:val="white"/>
          <w:u w:val="single"/>
          <w:rtl w:val="0"/>
        </w:rPr>
        <w:t xml:space="preserve">Минорная пентатоника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– пентатоника с минорным трезвучием от I ступени. Её строение: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1,5т-1т-1т-1,5т-1т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В минорной пентатонике по сравнению с обычной минорной гаммой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отсутствуют II и VI ступени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</w:rPr>
        <w:drawing>
          <wp:inline distB="114300" distT="114300" distL="114300" distR="114300">
            <wp:extent cx="2757488" cy="100883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7488" cy="10088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Характерные признаки пентатоники: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6"/>
          <w:szCs w:val="26"/>
          <w:highlight w:val="white"/>
          <w:u w:val="non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Отсутствие м.2, тритонов и свойственных им острых тяготений;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6"/>
          <w:szCs w:val="26"/>
          <w:highlight w:val="white"/>
          <w:u w:val="non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Образование групп из трех звуков, составляющих м.З и прилегающую к ней сверху или снизу б.2. Такие группы называется трихордами и часто встречаются в русской, болгарской, сербской музыке.</w:t>
      </w:r>
    </w:p>
    <w:p w:rsidR="00000000" w:rsidDel="00000000" w:rsidP="00000000" w:rsidRDefault="00000000" w:rsidRPr="00000000" w14:paraId="0000000E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На пентатонике основана музыка некоторых народов: татарская,</w:t>
      </w:r>
    </w:p>
    <w:p w:rsidR="00000000" w:rsidDel="00000000" w:rsidP="00000000" w:rsidRDefault="00000000" w:rsidRPr="00000000" w14:paraId="0000000F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чувашская, монгольская, китайская и и.д. В русской, украинской и белорусской народной музыке пентатоника встречается реже и в виде оборотов, построенных на трихордах. Пентатоника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часто используется</w:t>
      </w: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для выражения безмятежности, отсутствия страстей:</w:t>
      </w:r>
    </w:p>
    <w:p w:rsidR="00000000" w:rsidDel="00000000" w:rsidP="00000000" w:rsidRDefault="00000000" w:rsidRPr="00000000" w14:paraId="00000010">
      <w:pPr>
        <w:shd w:fill="ffffff" w:val="clear"/>
        <w:jc w:val="center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</w:rPr>
        <w:drawing>
          <wp:inline distB="114300" distT="114300" distL="114300" distR="114300">
            <wp:extent cx="4095750" cy="809625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after="30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А. П. Бородин. Романс "Спящая княжна" (начало).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after="300" w:lineRule="auto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after="30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2)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Построить в тетради и спеть по нотам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мажорную и минорную пентатонику от звука “фа”.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after="30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3)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Разучите по нотам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на фортепиано данный пример.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Определите вид пентатоники. Подготовьте пение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верхнего голоса с аккомпанементом.</w:t>
      </w:r>
      <w:r w:rsidDel="00000000" w:rsidR="00000000" w:rsidRPr="00000000">
        <w:rPr>
          <w:sz w:val="26"/>
          <w:szCs w:val="26"/>
          <w:highlight w:val="white"/>
        </w:rPr>
        <w:drawing>
          <wp:inline distB="114300" distT="114300" distL="114300" distR="114300">
            <wp:extent cx="6382798" cy="236439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2798" cy="23643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Для удобства пения мелодию на верхней строчке можно переносить на октаву вниз.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darsert.solf@gmail.com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