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                                                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4 класс</w:t>
      </w:r>
    </w:p>
    <w:p w:rsidR="00000000" w:rsidDel="00000000" w:rsidP="00000000" w:rsidRDefault="00000000" w:rsidRPr="00000000" w14:paraId="00000003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 </w:t>
      </w:r>
      <w:r w:rsidDel="00000000" w:rsidR="00000000" w:rsidRPr="00000000">
        <w:rPr>
          <w:sz w:val="26"/>
          <w:szCs w:val="26"/>
          <w:rtl w:val="0"/>
        </w:rPr>
        <w:t xml:space="preserve">все пройденные за 3 четверть темы по сольфеджио:</w:t>
      </w:r>
    </w:p>
    <w:p w:rsidR="00000000" w:rsidDel="00000000" w:rsidP="00000000" w:rsidRDefault="00000000" w:rsidRPr="00000000" w14:paraId="00000005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Тональность Ля-бемоль мажор</w:t>
      </w: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4700588" cy="2115264"/>
            <wp:effectExtent b="0" l="0" r="0" t="0"/>
            <wp:docPr id="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00588" cy="21152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Синкопа. Виды синкоп</w:t>
      </w:r>
    </w:p>
    <w:p w:rsidR="00000000" w:rsidDel="00000000" w:rsidP="00000000" w:rsidRDefault="00000000" w:rsidRPr="00000000" w14:paraId="00000009">
      <w:pPr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  <w:rtl w:val="0"/>
        </w:rPr>
        <w:t xml:space="preserve">Синкопа в музыке – это смещение ритмического ударения с сильной доли на слабую.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ind w:left="720" w:hanging="360"/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  <w:rtl w:val="0"/>
        </w:rPr>
        <w:t xml:space="preserve">Синкопы чаще всего возникают при появлении </w:t>
      </w:r>
      <w:r w:rsidDel="00000000" w:rsidR="00000000" w:rsidRPr="00000000">
        <w:rPr>
          <w:rFonts w:ascii="Verdana" w:cs="Verdana" w:eastAsia="Verdana" w:hAnsi="Verdana"/>
          <w:i w:val="1"/>
          <w:color w:val="222222"/>
          <w:sz w:val="24"/>
          <w:szCs w:val="24"/>
          <w:highlight w:val="white"/>
          <w:u w:val="single"/>
          <w:rtl w:val="0"/>
        </w:rPr>
        <w:t xml:space="preserve">длинных звуков на слабую долю</w:t>
      </w: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  <w:rtl w:val="0"/>
        </w:rPr>
        <w:t xml:space="preserve"> после коротких длительностей на сильной доле.Такие синкопы обычно звучат остро, повышают энергичность музыки, часто можно услышать их в танцевальной музыке. Например:</w:t>
      </w:r>
    </w:p>
    <w:p w:rsidR="00000000" w:rsidDel="00000000" w:rsidP="00000000" w:rsidRDefault="00000000" w:rsidRPr="00000000" w14:paraId="0000000B">
      <w:pPr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</w:rPr>
        <w:drawing>
          <wp:inline distB="114300" distT="114300" distL="114300" distR="114300">
            <wp:extent cx="5731200" cy="66040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60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0"/>
        </w:numPr>
        <w:ind w:left="720" w:hanging="360"/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  <w:rtl w:val="0"/>
        </w:rPr>
        <w:t xml:space="preserve">Можно выделить другой вид синкоп, когда длинный звук на слабом времени появляется после </w:t>
      </w:r>
      <w:r w:rsidDel="00000000" w:rsidR="00000000" w:rsidRPr="00000000">
        <w:rPr>
          <w:rFonts w:ascii="Verdana" w:cs="Verdana" w:eastAsia="Verdana" w:hAnsi="Verdana"/>
          <w:i w:val="1"/>
          <w:color w:val="222222"/>
          <w:sz w:val="24"/>
          <w:szCs w:val="24"/>
          <w:highlight w:val="white"/>
          <w:u w:val="single"/>
          <w:rtl w:val="0"/>
        </w:rPr>
        <w:t xml:space="preserve">паузы на сильной доле</w:t>
      </w: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  <w:rtl w:val="0"/>
        </w:rPr>
        <w:t xml:space="preserve">. Например:</w:t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</w:rPr>
        <w:drawing>
          <wp:inline distB="114300" distT="114300" distL="114300" distR="114300">
            <wp:extent cx="5731200" cy="762000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6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0"/>
        </w:numPr>
        <w:ind w:left="720" w:hanging="360"/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  <w:rtl w:val="0"/>
        </w:rPr>
        <w:t xml:space="preserve">Также синкопы могут возникать при появлении </w:t>
      </w:r>
      <w:r w:rsidDel="00000000" w:rsidR="00000000" w:rsidRPr="00000000">
        <w:rPr>
          <w:rFonts w:ascii="Verdana" w:cs="Verdana" w:eastAsia="Verdana" w:hAnsi="Verdana"/>
          <w:i w:val="1"/>
          <w:color w:val="222222"/>
          <w:sz w:val="24"/>
          <w:szCs w:val="24"/>
          <w:highlight w:val="white"/>
          <w:u w:val="single"/>
          <w:rtl w:val="0"/>
        </w:rPr>
        <w:t xml:space="preserve">длинных звуков на границе двух тактов</w:t>
      </w:r>
      <w:r w:rsidDel="00000000" w:rsidR="00000000" w:rsidRPr="00000000">
        <w:rPr>
          <w:rFonts w:ascii="Verdana" w:cs="Verdana" w:eastAsia="Verdana" w:hAnsi="Verdana"/>
          <w:i w:val="1"/>
          <w:color w:val="222222"/>
          <w:sz w:val="24"/>
          <w:szCs w:val="24"/>
          <w:highlight w:val="white"/>
          <w:rtl w:val="0"/>
        </w:rPr>
        <w:t xml:space="preserve"> (междутактовые синкопы).</w:t>
      </w: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  <w:rtl w:val="0"/>
        </w:rPr>
        <w:t xml:space="preserve"> В таких случаях нота начинает звучать в конце одного такта, а заканчивает – уже в следующем. Две части одного звука, расположенные в соседних тактах, соединяются с помощью лиги. При этом продолжение длительности занимает время сильной доли, которая, получается, пропускается, то есть не ударяется. Например:</w:t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</w:rPr>
        <w:drawing>
          <wp:inline distB="114300" distT="114300" distL="114300" distR="114300">
            <wp:extent cx="5731200" cy="558800"/>
            <wp:effectExtent b="0" l="0" r="0" t="0"/>
            <wp:docPr id="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5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afterAutospacing="0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Доминантсептаккорд (D7) с разрешением</w:t>
      </w:r>
    </w:p>
    <w:p w:rsidR="00000000" w:rsidDel="00000000" w:rsidP="00000000" w:rsidRDefault="00000000" w:rsidRPr="00000000" w14:paraId="00000012">
      <w:pPr>
        <w:pStyle w:val="Heading5"/>
        <w:keepNext w:val="0"/>
        <w:keepLines w:val="0"/>
        <w:numPr>
          <w:ilvl w:val="0"/>
          <w:numId w:val="3"/>
        </w:numPr>
        <w:pBdr>
          <w:top w:color="auto" w:space="4" w:sz="0" w:val="none"/>
        </w:pBdr>
        <w:shd w:fill="ffffff" w:val="clear"/>
        <w:spacing w:after="100" w:before="0" w:beforeAutospacing="0" w:line="360" w:lineRule="auto"/>
        <w:ind w:left="720" w:hanging="360"/>
        <w:rPr>
          <w:rFonts w:ascii="Verdana" w:cs="Verdana" w:eastAsia="Verdana" w:hAnsi="Verdana"/>
          <w:color w:val="000000"/>
          <w:highlight w:val="white"/>
          <w:u w:val="none"/>
        </w:rPr>
      </w:pPr>
      <w:bookmarkStart w:colFirst="0" w:colLast="0" w:name="_o9o2j6ddbev7" w:id="0"/>
      <w:bookmarkEnd w:id="0"/>
      <w:r w:rsidDel="00000000" w:rsidR="00000000" w:rsidRPr="00000000">
        <w:rPr>
          <w:rFonts w:ascii="Verdana" w:cs="Verdana" w:eastAsia="Verdana" w:hAnsi="Verdana"/>
          <w:color w:val="000000"/>
          <w:highlight w:val="white"/>
          <w:rtl w:val="0"/>
        </w:rPr>
        <w:t xml:space="preserve">Что такое септаккорд</w:t>
      </w:r>
    </w:p>
    <w:p w:rsidR="00000000" w:rsidDel="00000000" w:rsidP="00000000" w:rsidRDefault="00000000" w:rsidRPr="00000000" w14:paraId="00000013">
      <w:pPr>
        <w:shd w:fill="ffffff" w:val="clear"/>
        <w:spacing w:after="240" w:lineRule="auto"/>
        <w:rPr>
          <w:rFonts w:ascii="Verdana" w:cs="Verdana" w:eastAsia="Verdana" w:hAnsi="Verdana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3"/>
          <w:szCs w:val="23"/>
          <w:highlight w:val="white"/>
          <w:rtl w:val="0"/>
        </w:rPr>
        <w:t xml:space="preserve">Септаккордом</w:t>
      </w: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rtl w:val="0"/>
        </w:rPr>
        <w:t xml:space="preserve"> называют аккорд, состоящий из </w:t>
      </w:r>
      <w:r w:rsidDel="00000000" w:rsidR="00000000" w:rsidRPr="00000000">
        <w:rPr>
          <w:rFonts w:ascii="Verdana" w:cs="Verdana" w:eastAsia="Verdana" w:hAnsi="Verdana"/>
          <w:b w:val="1"/>
          <w:sz w:val="23"/>
          <w:szCs w:val="23"/>
          <w:highlight w:val="white"/>
          <w:rtl w:val="0"/>
        </w:rPr>
        <w:t xml:space="preserve">четырёх звуков</w:t>
      </w: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rtl w:val="0"/>
        </w:rPr>
        <w:t xml:space="preserve">, у которого интервалы между соседними звуками составляют терцию. Интервал между крайними звуками составляет септиму, что и легло в название аккорда.</w:t>
      </w:r>
    </w:p>
    <w:p w:rsidR="00000000" w:rsidDel="00000000" w:rsidP="00000000" w:rsidRDefault="00000000" w:rsidRPr="00000000" w14:paraId="00000014">
      <w:pPr>
        <w:pStyle w:val="Heading5"/>
        <w:keepNext w:val="0"/>
        <w:keepLines w:val="0"/>
        <w:numPr>
          <w:ilvl w:val="0"/>
          <w:numId w:val="7"/>
        </w:numPr>
        <w:pBdr>
          <w:top w:color="auto" w:space="4" w:sz="0" w:val="none"/>
        </w:pBdr>
        <w:shd w:fill="ffffff" w:val="clear"/>
        <w:spacing w:after="100" w:before="100" w:lineRule="auto"/>
        <w:ind w:left="720" w:hanging="360"/>
        <w:rPr>
          <w:rFonts w:ascii="Verdana" w:cs="Verdana" w:eastAsia="Verdana" w:hAnsi="Verdana"/>
          <w:sz w:val="23"/>
          <w:szCs w:val="23"/>
          <w:highlight w:val="white"/>
        </w:rPr>
      </w:pPr>
      <w:bookmarkStart w:colFirst="0" w:colLast="0" w:name="_qzokr2twfp9w" w:id="1"/>
      <w:bookmarkEnd w:id="1"/>
      <w:r w:rsidDel="00000000" w:rsidR="00000000" w:rsidRPr="00000000">
        <w:rPr>
          <w:rFonts w:ascii="Verdana" w:cs="Verdana" w:eastAsia="Verdana" w:hAnsi="Verdana"/>
          <w:color w:val="000000"/>
          <w:sz w:val="23"/>
          <w:szCs w:val="23"/>
          <w:highlight w:val="white"/>
          <w:rtl w:val="0"/>
        </w:rPr>
        <w:t xml:space="preserve">Доминантсептаккорд                                                                                      </w:t>
      </w:r>
    </w:p>
    <w:p w:rsidR="00000000" w:rsidDel="00000000" w:rsidP="00000000" w:rsidRDefault="00000000" w:rsidRPr="00000000" w14:paraId="00000015">
      <w:pPr>
        <w:pStyle w:val="Heading5"/>
        <w:keepNext w:val="0"/>
        <w:keepLines w:val="0"/>
        <w:pBdr>
          <w:top w:color="auto" w:space="4" w:sz="0" w:val="none"/>
        </w:pBdr>
        <w:shd w:fill="ffffff" w:val="clear"/>
        <w:spacing w:after="100" w:before="100" w:lineRule="auto"/>
        <w:rPr>
          <w:rFonts w:ascii="Verdana" w:cs="Verdana" w:eastAsia="Verdana" w:hAnsi="Verdana"/>
          <w:color w:val="000000"/>
          <w:sz w:val="23"/>
          <w:szCs w:val="23"/>
          <w:highlight w:val="white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bookmarkStart w:colFirst="0" w:colLast="0" w:name="_y3ex1tfvysxh" w:id="2"/>
      <w:bookmarkEnd w:id="2"/>
      <w:r w:rsidDel="00000000" w:rsidR="00000000" w:rsidRPr="00000000">
        <w:rPr>
          <w:rFonts w:ascii="Verdana" w:cs="Verdana" w:eastAsia="Verdana" w:hAnsi="Verdana"/>
          <w:color w:val="000000"/>
          <w:sz w:val="23"/>
          <w:szCs w:val="23"/>
          <w:highlight w:val="white"/>
          <w:rtl w:val="0"/>
        </w:rPr>
        <w:t xml:space="preserve">Вариантов септаккорда — великое множество. Самым распространённым является септаккорд, построенный от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3"/>
          <w:szCs w:val="23"/>
          <w:highlight w:val="white"/>
          <w:rtl w:val="0"/>
        </w:rPr>
        <w:t xml:space="preserve">V ступени</w:t>
      </w:r>
      <w:r w:rsidDel="00000000" w:rsidR="00000000" w:rsidRPr="00000000">
        <w:rPr>
          <w:rFonts w:ascii="Verdana" w:cs="Verdana" w:eastAsia="Verdana" w:hAnsi="Verdana"/>
          <w:color w:val="000000"/>
          <w:sz w:val="23"/>
          <w:szCs w:val="23"/>
          <w:highlight w:val="white"/>
          <w:rtl w:val="0"/>
        </w:rPr>
        <w:t xml:space="preserve"> (в мажоре или гармоническом миноре). Поскольку V ступень носит имя «доминанта», то септаккорд, построенный от доминанты, называют 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000000"/>
          <w:sz w:val="23"/>
          <w:szCs w:val="23"/>
          <w:highlight w:val="white"/>
          <w:rtl w:val="0"/>
        </w:rPr>
        <w:t xml:space="preserve">доминантсептаккордом</w:t>
      </w:r>
      <w:r w:rsidDel="00000000" w:rsidR="00000000" w:rsidRPr="00000000">
        <w:rPr>
          <w:rFonts w:ascii="Verdana" w:cs="Verdana" w:eastAsia="Verdana" w:hAnsi="Verdana"/>
          <w:color w:val="000000"/>
          <w:sz w:val="23"/>
          <w:szCs w:val="23"/>
          <w:highlight w:val="white"/>
          <w:rtl w:val="0"/>
        </w:rPr>
        <w:t xml:space="preserve">. Обозначается аккорд буквой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3"/>
          <w:szCs w:val="23"/>
          <w:highlight w:val="white"/>
          <w:rtl w:val="0"/>
        </w:rPr>
        <w:t xml:space="preserve"> D</w:t>
      </w:r>
      <w:r w:rsidDel="00000000" w:rsidR="00000000" w:rsidRPr="00000000">
        <w:rPr>
          <w:rFonts w:ascii="Verdana" w:cs="Verdana" w:eastAsia="Verdana" w:hAnsi="Verdana"/>
          <w:color w:val="000000"/>
          <w:sz w:val="23"/>
          <w:szCs w:val="23"/>
          <w:highlight w:val="white"/>
          <w:rtl w:val="0"/>
        </w:rPr>
        <w:t xml:space="preserve"> (доминанта) и цифрой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3"/>
          <w:szCs w:val="23"/>
          <w:highlight w:val="white"/>
          <w:rtl w:val="0"/>
        </w:rPr>
        <w:t xml:space="preserve">7</w:t>
      </w:r>
      <w:r w:rsidDel="00000000" w:rsidR="00000000" w:rsidRPr="00000000">
        <w:rPr>
          <w:rFonts w:ascii="Verdana" w:cs="Verdana" w:eastAsia="Verdana" w:hAnsi="Verdana"/>
          <w:color w:val="000000"/>
          <w:sz w:val="23"/>
          <w:szCs w:val="23"/>
          <w:highlight w:val="white"/>
          <w:rtl w:val="0"/>
        </w:rPr>
        <w:t xml:space="preserve"> -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3"/>
          <w:szCs w:val="23"/>
          <w:highlight w:val="white"/>
          <w:rtl w:val="0"/>
        </w:rPr>
        <w:t xml:space="preserve">D7</w:t>
      </w:r>
      <w:r w:rsidDel="00000000" w:rsidR="00000000" w:rsidRPr="00000000">
        <w:rPr>
          <w:rFonts w:ascii="Verdana" w:cs="Verdana" w:eastAsia="Verdana" w:hAnsi="Verdana"/>
          <w:color w:val="000000"/>
          <w:sz w:val="23"/>
          <w:szCs w:val="23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6">
      <w:pPr>
        <w:shd w:fill="ffffff" w:val="clear"/>
        <w:spacing w:after="240" w:lineRule="auto"/>
        <w:rPr>
          <w:rFonts w:ascii="Verdana" w:cs="Verdana" w:eastAsia="Verdana" w:hAnsi="Verdana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240" w:lineRule="auto"/>
        <w:rPr>
          <w:rFonts w:ascii="Verdana" w:cs="Verdana" w:eastAsia="Verdana" w:hAnsi="Verdana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rtl w:val="0"/>
        </w:rPr>
        <w:t xml:space="preserve">Пример D7 в До мажоре:</w:t>
      </w:r>
    </w:p>
    <w:p w:rsidR="00000000" w:rsidDel="00000000" w:rsidP="00000000" w:rsidRDefault="00000000" w:rsidRPr="00000000" w14:paraId="00000018">
      <w:pPr>
        <w:shd w:fill="ffffff" w:val="clear"/>
        <w:spacing w:after="240" w:lineRule="auto"/>
        <w:rPr>
          <w:rFonts w:ascii="Verdana" w:cs="Verdana" w:eastAsia="Verdana" w:hAnsi="Verdana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</w:rPr>
        <w:drawing>
          <wp:inline distB="114300" distT="114300" distL="114300" distR="114300">
            <wp:extent cx="3006913" cy="1601204"/>
            <wp:effectExtent b="0" l="0" r="0" t="0"/>
            <wp:docPr id="4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06913" cy="16012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rtl w:val="0"/>
        </w:rPr>
        <w:t xml:space="preserve">   </w:t>
      </w:r>
    </w:p>
    <w:p w:rsidR="00000000" w:rsidDel="00000000" w:rsidP="00000000" w:rsidRDefault="00000000" w:rsidRPr="00000000" w14:paraId="00000019">
      <w:pPr>
        <w:shd w:fill="ffffff" w:val="clear"/>
        <w:spacing w:after="240" w:lineRule="auto"/>
        <w:rPr>
          <w:rFonts w:ascii="Verdana" w:cs="Verdana" w:eastAsia="Verdana" w:hAnsi="Verdana"/>
          <w:color w:val="656565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240" w:lineRule="auto"/>
        <w:rPr>
          <w:rFonts w:ascii="Verdana" w:cs="Verdana" w:eastAsia="Verdana" w:hAnsi="Verdana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240" w:lineRule="auto"/>
        <w:rPr>
          <w:rFonts w:ascii="Verdana" w:cs="Verdana" w:eastAsia="Verdana" w:hAnsi="Verdana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rtl w:val="0"/>
        </w:rPr>
        <w:t xml:space="preserve">Звуки аккорда носят следующие названия (снизу вверх):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hd w:fill="ffffff" w:val="clear"/>
        <w:spacing w:after="0" w:afterAutospacing="0" w:line="313.04347826086956" w:lineRule="auto"/>
        <w:ind w:left="1020" w:hanging="360"/>
        <w:rPr>
          <w:color w:val="00000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u w:val="single"/>
          <w:rtl w:val="0"/>
        </w:rPr>
        <w:t xml:space="preserve">Прима</w:t>
      </w: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rtl w:val="0"/>
        </w:rPr>
        <w:t xml:space="preserve">. Это основание аккорда, самый нижний звук;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hd w:fill="ffffff" w:val="clear"/>
        <w:spacing w:after="0" w:afterAutospacing="0" w:line="313.04347826086956" w:lineRule="auto"/>
        <w:ind w:left="1020" w:hanging="360"/>
        <w:rPr>
          <w:color w:val="00000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u w:val="single"/>
          <w:rtl w:val="0"/>
        </w:rPr>
        <w:t xml:space="preserve">Терция</w:t>
      </w: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rtl w:val="0"/>
        </w:rPr>
        <w:t xml:space="preserve">;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hd w:fill="ffffff" w:val="clear"/>
        <w:spacing w:after="0" w:afterAutospacing="0" w:line="313.04347826086956" w:lineRule="auto"/>
        <w:ind w:left="1020" w:hanging="360"/>
        <w:rPr>
          <w:color w:val="00000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u w:val="single"/>
          <w:rtl w:val="0"/>
        </w:rPr>
        <w:t xml:space="preserve">Квинта</w:t>
      </w: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rtl w:val="0"/>
        </w:rPr>
        <w:t xml:space="preserve">;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hd w:fill="ffffff" w:val="clear"/>
        <w:spacing w:after="0" w:afterAutospacing="0" w:line="313.04347826086956" w:lineRule="auto"/>
        <w:ind w:left="1020" w:hanging="360"/>
        <w:rPr>
          <w:color w:val="000000"/>
          <w:highlight w:val="white"/>
        </w:rPr>
        <w:sectPr>
          <w:type w:val="continuous"/>
          <w:pgSz w:h="16834" w:w="11909" w:orient="portrait"/>
          <w:pgMar w:bottom="1440" w:top="1440" w:left="1440" w:right="1440" w:header="720" w:footer="720"/>
          <w:cols w:equalWidth="0" w:num="2">
            <w:col w:space="720" w:w="4152.74"/>
            <w:col w:space="0" w:w="4152.74"/>
          </w:cols>
        </w:sectPr>
      </w:pP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u w:val="single"/>
          <w:rtl w:val="0"/>
        </w:rPr>
        <w:t xml:space="preserve">Септима</w:t>
      </w: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rtl w:val="0"/>
        </w:rPr>
        <w:t xml:space="preserve">. Самый верхний звук. От примы до септимы — интервал «септима».</w:t>
      </w:r>
    </w:p>
    <w:p w:rsidR="00000000" w:rsidDel="00000000" w:rsidP="00000000" w:rsidRDefault="00000000" w:rsidRPr="00000000" w14:paraId="00000020">
      <w:pPr>
        <w:numPr>
          <w:ilvl w:val="0"/>
          <w:numId w:val="8"/>
        </w:numPr>
        <w:shd w:fill="ffffff" w:val="clear"/>
        <w:spacing w:after="240" w:lineRule="auto"/>
        <w:ind w:left="720" w:hanging="360"/>
        <w:rPr>
          <w:rFonts w:ascii="Verdana" w:cs="Verdana" w:eastAsia="Verdana" w:hAnsi="Verdana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rtl w:val="0"/>
        </w:rPr>
        <w:t xml:space="preserve">Разрешение доминантсептаккорда (D7)</w:t>
      </w:r>
    </w:p>
    <w:p w:rsidR="00000000" w:rsidDel="00000000" w:rsidP="00000000" w:rsidRDefault="00000000" w:rsidRPr="00000000" w14:paraId="00000021">
      <w:pPr>
        <w:shd w:fill="ffffff" w:val="clear"/>
        <w:spacing w:after="240" w:lineRule="auto"/>
        <w:rPr>
          <w:rFonts w:ascii="Verdana" w:cs="Verdana" w:eastAsia="Verdana" w:hAnsi="Verdana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rtl w:val="0"/>
        </w:rPr>
        <w:t xml:space="preserve">Т.к. в составе D7 есть неустойчивые ступени (VII, II, IV), поэтому этот аккорд необходимо разрешать при построении в тональности. Разрешать = переводить неустойчивые звуки в ближайшие устойчивые. </w:t>
      </w:r>
    </w:p>
    <w:p w:rsidR="00000000" w:rsidDel="00000000" w:rsidP="00000000" w:rsidRDefault="00000000" w:rsidRPr="00000000" w14:paraId="00000022">
      <w:pPr>
        <w:shd w:fill="ffffff" w:val="clear"/>
        <w:spacing w:after="240" w:lineRule="auto"/>
        <w:rPr>
          <w:rFonts w:ascii="Verdana" w:cs="Verdana" w:eastAsia="Verdana" w:hAnsi="Verdana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i w:val="1"/>
          <w:sz w:val="23"/>
          <w:szCs w:val="23"/>
          <w:highlight w:val="white"/>
          <w:u w:val="single"/>
          <w:rtl w:val="0"/>
        </w:rPr>
        <w:t xml:space="preserve">D7 всегда разрешается в неполное тоническое трезвучие (обозначается как Т3).</w:t>
      </w: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rtl w:val="0"/>
        </w:rPr>
        <w:t xml:space="preserve"> Оно неполное, потому что состоит только из 2 нот: нижнего и среднего звука Т53. </w:t>
      </w:r>
    </w:p>
    <w:p w:rsidR="00000000" w:rsidDel="00000000" w:rsidP="00000000" w:rsidRDefault="00000000" w:rsidRPr="00000000" w14:paraId="00000023">
      <w:pPr>
        <w:shd w:fill="ffffff" w:val="clear"/>
        <w:spacing w:after="240" w:lineRule="auto"/>
        <w:rPr>
          <w:rFonts w:ascii="Verdana" w:cs="Verdana" w:eastAsia="Verdana" w:hAnsi="Verdana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rtl w:val="0"/>
        </w:rPr>
        <w:t xml:space="preserve">Пример разрешения D7 в До мажоре:</w:t>
      </w:r>
    </w:p>
    <w:p w:rsidR="00000000" w:rsidDel="00000000" w:rsidP="00000000" w:rsidRDefault="00000000" w:rsidRPr="00000000" w14:paraId="00000024">
      <w:pPr>
        <w:shd w:fill="ffffff" w:val="clear"/>
        <w:spacing w:after="240" w:lineRule="auto"/>
        <w:rPr>
          <w:rFonts w:ascii="Verdana" w:cs="Verdana" w:eastAsia="Verdana" w:hAnsi="Verdana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</w:rPr>
        <w:drawing>
          <wp:inline distB="114300" distT="114300" distL="114300" distR="114300">
            <wp:extent cx="2843213" cy="1015433"/>
            <wp:effectExtent b="0" l="0" r="0" t="0"/>
            <wp:docPr id="6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3213" cy="10154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hd w:fill="ffffff" w:val="clear"/>
        <w:spacing w:after="240" w:lineRule="auto"/>
        <w:ind w:left="720" w:hanging="360"/>
        <w:rPr>
          <w:sz w:val="26"/>
          <w:szCs w:val="26"/>
          <w:highlight w:val="white"/>
          <w:u w:val="none"/>
        </w:rPr>
      </w:pPr>
      <w:r w:rsidDel="00000000" w:rsidR="00000000" w:rsidRPr="00000000">
        <w:rPr>
          <w:sz w:val="26"/>
          <w:szCs w:val="26"/>
          <w:highlight w:val="white"/>
          <w:u w:val="single"/>
          <w:rtl w:val="0"/>
        </w:rPr>
        <w:t xml:space="preserve">Обращения доминантсептаккорда (D7)</w:t>
      </w:r>
    </w:p>
    <w:p w:rsidR="00000000" w:rsidDel="00000000" w:rsidP="00000000" w:rsidRDefault="00000000" w:rsidRPr="00000000" w14:paraId="00000026">
      <w:pPr>
        <w:shd w:fill="ffffff" w:val="clear"/>
        <w:spacing w:after="320" w:lineRule="auto"/>
        <w:rPr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Обращение аккорда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rtl w:val="0"/>
        </w:rPr>
        <w:t xml:space="preserve">-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перенос нижнего звука аккорда на октаву вверх или верхнего на октаву вниз. Мы знаем, что у трезвучия есть 2 обращения - секстаккорд и квартсекстаккорд.</w:t>
      </w:r>
    </w:p>
    <w:p w:rsidR="00000000" w:rsidDel="00000000" w:rsidP="00000000" w:rsidRDefault="00000000" w:rsidRPr="00000000" w14:paraId="00000027">
      <w:pPr>
        <w:shd w:fill="ffffff" w:val="clear"/>
        <w:spacing w:after="320" w:lineRule="auto"/>
        <w:rPr>
          <w:sz w:val="26"/>
          <w:szCs w:val="26"/>
          <w:highlight w:val="white"/>
        </w:rPr>
        <w:sectPr>
          <w:type w:val="continuous"/>
          <w:pgSz w:h="16834" w:w="11909" w:orient="portrait"/>
          <w:pgMar w:bottom="1440" w:top="1440" w:left="1440" w:right="1440" w:header="720" w:footer="720"/>
        </w:sect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У любого септаккорда (и у D7 в том числе) есть 3 обращения: </w:t>
      </w: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квинтсекстаккорд, терцквартаккорд, секундаккорд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. Отличительной чертой обращений септаккорда является секунда в основании, середине или в конце аккорда.                                                                                        Пример построения D7 с его обращениями в До мажоре:</w:t>
      </w:r>
    </w:p>
    <w:p w:rsidR="00000000" w:rsidDel="00000000" w:rsidP="00000000" w:rsidRDefault="00000000" w:rsidRPr="00000000" w14:paraId="00000028">
      <w:pPr>
        <w:shd w:fill="ffffff" w:val="clear"/>
        <w:spacing w:after="320" w:lineRule="auto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</w:rPr>
        <w:drawing>
          <wp:inline distB="114300" distT="114300" distL="114300" distR="114300">
            <wp:extent cx="2881313" cy="1792388"/>
            <wp:effectExtent b="0" l="0" r="0" t="0"/>
            <wp:docPr id="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1313" cy="17923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29">
      <w:pPr>
        <w:shd w:fill="ffffff" w:val="clear"/>
        <w:spacing w:after="320" w:lineRule="auto"/>
        <w:rPr>
          <w:i w:val="1"/>
          <w:sz w:val="26"/>
          <w:szCs w:val="26"/>
          <w:highlight w:val="white"/>
        </w:rPr>
        <w:sectPr>
          <w:type w:val="continuous"/>
          <w:pgSz w:h="16834" w:w="11909" w:orient="portrait"/>
          <w:pgMar w:bottom="1440" w:top="1440" w:left="1440" w:right="1440" w:header="720" w:footer="720"/>
          <w:cols w:equalWidth="0" w:num="2">
            <w:col w:space="720" w:w="4152.74"/>
            <w:col w:space="0" w:w="4152.74"/>
          </w:cols>
        </w:sect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Обратите внимание на то, что у квинтсекстаккорда секунда находится наверху, в конце аккорда, у терцквартаккорда секунда находится в середине аккорда, а секундаккорд начинается с секунды, она у него в самом основании аккорда - поэтому секундаккорд имеет такое название.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shd w:fill="ffffff" w:val="clear"/>
        <w:spacing w:after="240" w:lineRule="auto"/>
        <w:ind w:left="720" w:hanging="360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Разрешение обращений D7</w:t>
      </w:r>
    </w:p>
    <w:p w:rsidR="00000000" w:rsidDel="00000000" w:rsidP="00000000" w:rsidRDefault="00000000" w:rsidRPr="00000000" w14:paraId="0000002B">
      <w:pPr>
        <w:shd w:fill="ffffff" w:val="clear"/>
        <w:spacing w:after="240" w:lineRule="auto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Т.к. в составе D7 и его обращений есть неустойчивые ступени (VII, II, IV), поэтому эти аккорды необходимо разрешать при построении в тональности. Разрешать = переводить неустойчивые звуки в ближайшие устойчивые. </w:t>
      </w:r>
    </w:p>
    <w:p w:rsidR="00000000" w:rsidDel="00000000" w:rsidP="00000000" w:rsidRDefault="00000000" w:rsidRPr="00000000" w14:paraId="0000002C">
      <w:pPr>
        <w:shd w:fill="ffffff" w:val="clear"/>
        <w:spacing w:after="240" w:lineRule="auto"/>
        <w:rPr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u w:val="single"/>
          <w:rtl w:val="0"/>
        </w:rPr>
        <w:t xml:space="preserve">D7 всегда разрешается в неполное тоническое трезвучие (обозначается как Т3).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D65 разрешится в полное Т53 с удвоенной тоникой, D43 - в развернутое Т53, D2 разрешится в Т6. </w:t>
      </w:r>
    </w:p>
    <w:p w:rsidR="00000000" w:rsidDel="00000000" w:rsidP="00000000" w:rsidRDefault="00000000" w:rsidRPr="00000000" w14:paraId="0000002D">
      <w:pPr>
        <w:shd w:fill="ffffff" w:val="clear"/>
        <w:spacing w:after="240" w:lineRule="auto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Пример разрешения D7 и его обращений в До мажоре:</w:t>
      </w:r>
    </w:p>
    <w:p w:rsidR="00000000" w:rsidDel="00000000" w:rsidP="00000000" w:rsidRDefault="00000000" w:rsidRPr="00000000" w14:paraId="0000002E">
      <w:pPr>
        <w:shd w:fill="ffffff" w:val="clear"/>
        <w:spacing w:after="240" w:lineRule="auto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</w:rPr>
        <w:drawing>
          <wp:inline distB="114300" distT="114300" distL="114300" distR="114300">
            <wp:extent cx="4824456" cy="1138238"/>
            <wp:effectExtent b="0" l="0" r="0" t="0"/>
            <wp:docPr id="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24456" cy="1138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9"/>
        </w:numPr>
        <w:shd w:fill="ffffff" w:val="clear"/>
        <w:spacing w:after="240" w:lineRule="auto"/>
        <w:ind w:left="720" w:hanging="360"/>
        <w:rPr>
          <w:sz w:val="26"/>
          <w:szCs w:val="26"/>
          <w:highlight w:val="white"/>
          <w:u w:val="none"/>
        </w:rPr>
      </w:pPr>
      <w:r w:rsidDel="00000000" w:rsidR="00000000" w:rsidRPr="00000000">
        <w:rPr>
          <w:sz w:val="26"/>
          <w:szCs w:val="26"/>
          <w:highlight w:val="white"/>
          <w:u w:val="single"/>
          <w:rtl w:val="0"/>
        </w:rPr>
        <w:t xml:space="preserve">Тональность фа минор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214938" cy="2387562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14938" cy="23875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jc w:val="lef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Подготовиться к контрольной работе по сольфеджио за 3 четверть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3D">
      <w:pPr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15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color w:val="656565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png"/><Relationship Id="rId10" Type="http://schemas.openxmlformats.org/officeDocument/2006/relationships/image" Target="media/image8.png"/><Relationship Id="rId13" Type="http://schemas.openxmlformats.org/officeDocument/2006/relationships/image" Target="media/image6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hyperlink" Target="mailto:darsert.solf@gmail.com" TargetMode="External"/><Relationship Id="rId14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