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- ТРИТОНЫ В НАТУРАЛЬНОМ МАЖОРЕ И В НАТУРАЛЬНОМ МИНОРЕ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Тритоны</w:t>
      </w:r>
      <w:r w:rsidDel="00000000" w:rsidR="00000000" w:rsidRPr="00000000">
        <w:rPr>
          <w:sz w:val="26"/>
          <w:szCs w:val="26"/>
          <w:rtl w:val="0"/>
        </w:rPr>
        <w:t xml:space="preserve"> в музыке - интервалы, состоящие из 3 тонов.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К тритонам относятся два интервала –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уменьшенная квинта (ум. 5)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увеличенная кварта (ув.4)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Тритоны звучат одинаково, несмотря на разную запись и название. </w:t>
      </w:r>
    </w:p>
    <w:p w:rsidR="00000000" w:rsidDel="00000000" w:rsidP="00000000" w:rsidRDefault="00000000" w:rsidRPr="00000000" w14:paraId="00000006">
      <w:pPr>
        <w:ind w:left="0" w:firstLine="0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Тритоны строятся строго на определенных ступенях в тональности. Например, В НАТУРАЛЬНОМ МАЖОРЕ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ув.4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строится 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IV ступени, а ум.5 -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VII.</w:t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В НАТУРАЛЬНОМ МИНОРЕ 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ув.4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строится 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VI ступени, а ум.5 -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II.</w:t>
      </w:r>
    </w:p>
    <w:p w:rsidR="00000000" w:rsidDel="00000000" w:rsidP="00000000" w:rsidRDefault="00000000" w:rsidRPr="00000000" w14:paraId="00000008">
      <w:pPr>
        <w:ind w:left="0" w:firstLine="0"/>
        <w:rPr>
          <w:rFonts w:ascii="Verdana" w:cs="Verdana" w:eastAsia="Verdana" w:hAnsi="Verdan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Звуки тритонов в тональности состоят только из неустойчивых звуков, поэтому неустойчивые звуки тритонов нужно всегда разрешать в устойчивые!</w:t>
      </w:r>
    </w:p>
    <w:p w:rsidR="00000000" w:rsidDel="00000000" w:rsidP="00000000" w:rsidRDefault="00000000" w:rsidRPr="00000000" w14:paraId="0000000A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2805113" cy="12091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120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 </w:t>
      </w:r>
      <w:r w:rsidDel="00000000" w:rsidR="00000000" w:rsidRPr="00000000">
        <w:rPr>
          <w:sz w:val="26"/>
          <w:szCs w:val="26"/>
          <w:rtl w:val="0"/>
        </w:rPr>
        <w:t xml:space="preserve">данную заготовку,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подписать тритоны</w:t>
      </w:r>
      <w:r w:rsidDel="00000000" w:rsidR="00000000" w:rsidRPr="00000000">
        <w:rPr>
          <w:sz w:val="26"/>
          <w:szCs w:val="26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разрешить </w:t>
      </w:r>
      <w:r w:rsidDel="00000000" w:rsidR="00000000" w:rsidRPr="00000000">
        <w:rPr>
          <w:sz w:val="26"/>
          <w:szCs w:val="26"/>
          <w:rtl w:val="0"/>
        </w:rPr>
        <w:t xml:space="preserve">их в</w:t>
      </w:r>
      <w:r w:rsidDel="00000000" w:rsidR="00000000" w:rsidRPr="00000000">
        <w:rPr>
          <w:b w:val="1"/>
          <w:sz w:val="26"/>
          <w:szCs w:val="26"/>
          <w:rtl w:val="0"/>
        </w:rPr>
        <w:t xml:space="preserve"> МИНОРНЫЕ </w:t>
      </w:r>
      <w:r w:rsidDel="00000000" w:rsidR="00000000" w:rsidRPr="00000000">
        <w:rPr>
          <w:sz w:val="26"/>
          <w:szCs w:val="26"/>
          <w:rtl w:val="0"/>
        </w:rPr>
        <w:t xml:space="preserve">тональности</w:t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48425" cy="80869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808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Как выполняем это задание: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Сначала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подписываем</w:t>
      </w:r>
      <w:r w:rsidDel="00000000" w:rsidR="00000000" w:rsidRPr="00000000">
        <w:rPr>
          <w:i w:val="1"/>
          <w:sz w:val="26"/>
          <w:szCs w:val="26"/>
          <w:rtl w:val="0"/>
        </w:rPr>
        <w:t xml:space="preserve"> каждый тритон (ув.4 или ум.5)</w:t>
      </w:r>
    </w:p>
    <w:p w:rsidR="00000000" w:rsidDel="00000000" w:rsidP="00000000" w:rsidRDefault="00000000" w:rsidRPr="00000000" w14:paraId="00000011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Например, мы определили, что тритон “фа-си” - увеличенная кварта</w:t>
      </w:r>
    </w:p>
    <w:p w:rsidR="00000000" w:rsidDel="00000000" w:rsidP="00000000" w:rsidRDefault="00000000" w:rsidRPr="00000000" w14:paraId="00000012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</w:rPr>
        <w:drawing>
          <wp:inline distB="114300" distT="114300" distL="114300" distR="114300">
            <wp:extent cx="904875" cy="1190625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Теперь нужно определить, к какой тональности относится этот тритон. </w:t>
      </w:r>
    </w:p>
    <w:p w:rsidR="00000000" w:rsidDel="00000000" w:rsidP="00000000" w:rsidRDefault="00000000" w:rsidRPr="00000000" w14:paraId="00000014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Для этого вспоминаем,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на каких ступенях</w:t>
      </w:r>
      <w:r w:rsidDel="00000000" w:rsidR="00000000" w:rsidRPr="00000000">
        <w:rPr>
          <w:i w:val="1"/>
          <w:sz w:val="26"/>
          <w:szCs w:val="26"/>
          <w:rtl w:val="0"/>
        </w:rPr>
        <w:t xml:space="preserve"> в мажоре и в миноре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 строится ув.4</w:t>
      </w:r>
      <w:r w:rsidDel="00000000" w:rsidR="00000000" w:rsidRPr="00000000">
        <w:rPr>
          <w:i w:val="1"/>
          <w:sz w:val="26"/>
          <w:szCs w:val="26"/>
          <w:rtl w:val="0"/>
        </w:rPr>
        <w:t xml:space="preserve">. В этом задании нам нужно разрешить все тритоны в МИНОР, поэтому ищем ступень, на которой строится ув.4 именно в миноре. Вспоминаем, что в миноре ув.4 строится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на VI</w:t>
      </w:r>
      <w:r w:rsidDel="00000000" w:rsidR="00000000" w:rsidRPr="00000000">
        <w:rPr>
          <w:i w:val="1"/>
          <w:sz w:val="26"/>
          <w:szCs w:val="26"/>
          <w:rtl w:val="0"/>
        </w:rPr>
        <w:t xml:space="preserve"> ступени.</w:t>
      </w:r>
    </w:p>
    <w:p w:rsidR="00000000" w:rsidDel="00000000" w:rsidP="00000000" w:rsidRDefault="00000000" w:rsidRPr="00000000" w14:paraId="00000015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Делаем вывод, что звук “фа”, от которого построен наш тритон в этом примере, является VI ступенью в той тональности, которую мы хотим определить.</w:t>
      </w:r>
    </w:p>
    <w:p w:rsidR="00000000" w:rsidDel="00000000" w:rsidP="00000000" w:rsidRDefault="00000000" w:rsidRPr="00000000" w14:paraId="00000017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Определяем тонику этой тональности</w:t>
      </w:r>
      <w:r w:rsidDel="00000000" w:rsidR="00000000" w:rsidRPr="00000000">
        <w:rPr>
          <w:i w:val="1"/>
          <w:sz w:val="26"/>
          <w:szCs w:val="26"/>
          <w:rtl w:val="0"/>
        </w:rPr>
        <w:t xml:space="preserve">: раз “фа” - VI ступень, значит “ми” - V, “ре” - IV, “до” - III, “си” - II, “ля” - I. Получается, что тоникой нашей минорной тональности будет нота “ля”. Значит, мы можем определить нашу тональность - это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ля минор</w:t>
      </w:r>
      <w:r w:rsidDel="00000000" w:rsidR="00000000" w:rsidRPr="00000000">
        <w:rPr>
          <w:i w:val="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i w:val="1"/>
          <w:sz w:val="26"/>
          <w:szCs w:val="26"/>
          <w:u w:val="none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Подписываем</w:t>
      </w:r>
      <w:r w:rsidDel="00000000" w:rsidR="00000000" w:rsidRPr="00000000">
        <w:rPr>
          <w:i w:val="1"/>
          <w:sz w:val="26"/>
          <w:szCs w:val="26"/>
          <w:rtl w:val="0"/>
        </w:rPr>
        <w:t xml:space="preserve"> над тактом название тональности</w:t>
      </w:r>
    </w:p>
    <w:p w:rsidR="00000000" w:rsidDel="00000000" w:rsidP="00000000" w:rsidRDefault="00000000" w:rsidRPr="00000000" w14:paraId="0000001A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</w:rPr>
        <w:drawing>
          <wp:inline distB="114300" distT="114300" distL="114300" distR="114300">
            <wp:extent cx="981075" cy="117157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i w:val="1"/>
          <w:sz w:val="26"/>
          <w:szCs w:val="26"/>
          <w:u w:val="none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Остается только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разрешить тритон</w:t>
      </w:r>
      <w:r w:rsidDel="00000000" w:rsidR="00000000" w:rsidRPr="00000000">
        <w:rPr>
          <w:i w:val="1"/>
          <w:sz w:val="26"/>
          <w:szCs w:val="26"/>
          <w:rtl w:val="0"/>
        </w:rPr>
        <w:t xml:space="preserve"> в устойчивые звуки ля минора</w:t>
      </w:r>
    </w:p>
    <w:p w:rsidR="00000000" w:rsidDel="00000000" w:rsidP="00000000" w:rsidRDefault="00000000" w:rsidRPr="00000000" w14:paraId="0000001C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</w:rPr>
        <w:drawing>
          <wp:inline distB="114300" distT="114300" distL="114300" distR="114300">
            <wp:extent cx="1704975" cy="121920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Готово! Не забывайте, что у каждого тритона в этом задании будет своя минорная тональность.</w:t>
      </w:r>
    </w:p>
    <w:p w:rsidR="00000000" w:rsidDel="00000000" w:rsidP="00000000" w:rsidRDefault="00000000" w:rsidRPr="00000000" w14:paraId="0000001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4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darsert.solf@gmail.com" TargetMode="Externa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