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В тональности E-dur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rtl w:val="0"/>
        </w:rPr>
        <w:t xml:space="preserve"> письменно в тетради данную аккордовую последовательность: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T53 - S64 – D65 - D7 - VI53 – S6 – К64 - D7 - T53</w:t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Построенную аккордовую последовательность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</w:t>
      </w:r>
      <w:r w:rsidDel="00000000" w:rsidR="00000000" w:rsidRPr="00000000">
        <w:rPr>
          <w:sz w:val="26"/>
          <w:szCs w:val="26"/>
          <w:rtl w:val="0"/>
        </w:rPr>
        <w:t xml:space="preserve">,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по нотам</w:t>
      </w:r>
      <w:r w:rsidDel="00000000" w:rsidR="00000000" w:rsidRPr="00000000">
        <w:rPr>
          <w:sz w:val="26"/>
          <w:szCs w:val="26"/>
          <w:rtl w:val="0"/>
        </w:rPr>
        <w:t xml:space="preserve">, сначала подыгрывая себе на инструменте, потом без инструмента.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