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6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- Вводный септаккорд. Внутрифункциональное разрешение вводного септаккорда.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529388" cy="234277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9388" cy="2342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VII7 имеет три обращения: VII65, VII43 и VII2. 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Разрешаются и MVII7, и УмVII7 в тоническое трезвучие </w:t>
      </w:r>
      <w:r w:rsidDel="00000000" w:rsidR="00000000" w:rsidRPr="00000000">
        <w:rPr>
          <w:b w:val="1"/>
          <w:sz w:val="26"/>
          <w:szCs w:val="26"/>
          <w:rtl w:val="0"/>
        </w:rPr>
        <w:t xml:space="preserve">с удвоенной терцией </w:t>
      </w:r>
      <w:r w:rsidDel="00000000" w:rsidR="00000000" w:rsidRPr="00000000">
        <w:rPr>
          <w:sz w:val="26"/>
          <w:szCs w:val="26"/>
          <w:rtl w:val="0"/>
        </w:rPr>
        <w:t xml:space="preserve">(и в мажоре, и в миноре).</w:t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Вводный септаккорд может</w:t>
      </w:r>
      <w:r w:rsidDel="00000000" w:rsidR="00000000" w:rsidRPr="00000000">
        <w:rPr>
          <w:b w:val="1"/>
          <w:sz w:val="26"/>
          <w:szCs w:val="26"/>
          <w:rtl w:val="0"/>
        </w:rPr>
        <w:t xml:space="preserve"> разрешаться</w:t>
      </w:r>
      <w:r w:rsidDel="00000000" w:rsidR="00000000" w:rsidRPr="00000000">
        <w:rPr>
          <w:sz w:val="26"/>
          <w:szCs w:val="26"/>
          <w:rtl w:val="0"/>
        </w:rPr>
        <w:t xml:space="preserve"> в тонику </w:t>
      </w:r>
      <w:r w:rsidDel="00000000" w:rsidR="00000000" w:rsidRPr="00000000">
        <w:rPr>
          <w:b w:val="1"/>
          <w:sz w:val="26"/>
          <w:szCs w:val="26"/>
          <w:rtl w:val="0"/>
        </w:rPr>
        <w:t xml:space="preserve">через доминанту</w:t>
      </w:r>
      <w:r w:rsidDel="00000000" w:rsidR="00000000" w:rsidRPr="00000000">
        <w:rPr>
          <w:sz w:val="26"/>
          <w:szCs w:val="26"/>
          <w:rtl w:val="0"/>
        </w:rPr>
        <w:t xml:space="preserve">, такое разрешение - </w:t>
      </w:r>
      <w:r w:rsidDel="00000000" w:rsidR="00000000" w:rsidRPr="00000000">
        <w:rPr>
          <w:i w:val="1"/>
          <w:sz w:val="26"/>
          <w:szCs w:val="26"/>
          <w:rtl w:val="0"/>
        </w:rPr>
        <w:t xml:space="preserve">внутрифункциональное.</w:t>
      </w:r>
      <w:r w:rsidDel="00000000" w:rsidR="00000000" w:rsidRPr="00000000">
        <w:rPr>
          <w:sz w:val="26"/>
          <w:szCs w:val="26"/>
          <w:rtl w:val="0"/>
        </w:rPr>
        <w:t xml:space="preserve"> Вводный септаккорд и его обращения переходят в D7 и его обращения по правилу круга:</w:t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762250" cy="184927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29759" l="25747" r="26079" t="2105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49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rtl w:val="0"/>
        </w:rPr>
        <w:t xml:space="preserve">             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1754057" cy="163211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4057" cy="1632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 внутрифункционального разрешения VII7 в тонику через D7 в До мажоре:</w:t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881346" cy="11736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1346" cy="1173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Постройте</w:t>
      </w:r>
      <w:r w:rsidDel="00000000" w:rsidR="00000000" w:rsidRPr="00000000">
        <w:rPr>
          <w:sz w:val="26"/>
          <w:szCs w:val="26"/>
          <w:rtl w:val="0"/>
        </w:rPr>
        <w:t xml:space="preserve"> в тетради УмVII7 в тональностях </w:t>
      </w:r>
      <w:r w:rsidDel="00000000" w:rsidR="00000000" w:rsidRPr="00000000">
        <w:rPr>
          <w:b w:val="1"/>
          <w:sz w:val="26"/>
          <w:szCs w:val="26"/>
          <w:rtl w:val="0"/>
        </w:rPr>
        <w:t xml:space="preserve">Ля мажор</w:t>
      </w:r>
      <w:r w:rsidDel="00000000" w:rsidR="00000000" w:rsidRPr="00000000">
        <w:rPr>
          <w:sz w:val="26"/>
          <w:szCs w:val="26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ля минор</w:t>
      </w:r>
      <w:r w:rsidDel="00000000" w:rsidR="00000000" w:rsidRPr="00000000">
        <w:rPr>
          <w:sz w:val="26"/>
          <w:szCs w:val="26"/>
          <w:rtl w:val="0"/>
        </w:rPr>
        <w:t xml:space="preserve">, затем разрешите их в тонику через D7, пользуясь правилом круга.</w:t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Построенные аккорды проиграйте на своем инструменте и обязательно спойте по нотам.</w:t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30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