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15.11./18.11.23.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Главные трезвучия в миноре (г).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миноре главные трезвучия мы будем всегда строить в ГАРМОНИЧЕСКОМ ВИДЕ (VII#). А поскольку мы строим в гармоническом виде, то доминанта будет мажорная и записываться с заглавной буквы (t53, s53, D53). 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Образец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"ля минор":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67691" cy="107380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7691" cy="10738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Постройте главные трезвучия в тональностях: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"соль минор"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2808817" cy="1102194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8817" cy="1102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"ми минор"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78741" cy="1346033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8741" cy="13460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Помните про ключевые знаки и про повышенную VII ступень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в " До мажоре".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главные трезвучия в тональности "До мажор", дублируя бас аккорда левой рукой на октаву ниже: T53- S53-D53-T53.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бас и аккорд одновременно;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сначала бас, потом аккорд;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сначала бас, потом два раз аккорд.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