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1.03./5.03.25.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8.03.(сб) - праздник, уроков не будет.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12.03./15.03. - подготовить номер на пение с листа.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№334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851313" cy="1416956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1313" cy="14169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дирижированием в размере ¾.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№345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Отдельно прохлопайте / протактируйте ритм 5-6 тактов, где встречается короткий и длинный пунктир.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786543" cy="1444111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6543" cy="14441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385436" cy="550485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5436" cy="550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Хлопайте с ритмослогами;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Хлопайте со счëтом в размере ¾.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Пение номера с листа. 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Каждому подготовить пение с листа своего номера: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Прочитать ритм от начала до конца;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Посмотрите нотки;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Пробуйте читать нотки в ритме несколько раз с хлопками, а затем с дирижированием;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Играйте и слушайте мелодию на инструменте;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Одновременно пойте и играйте, уши должны запомнить звучание мелодии.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Пробуйте петь без инструмента, но обязательно с дирижированием. 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92808" cy="532461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2808" cy="5324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97757" cy="1964267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7757" cy="19642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