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6D" w:rsidRPr="0090436D" w:rsidRDefault="0090436D" w:rsidP="0090436D">
      <w:pPr>
        <w:spacing w:after="0" w:line="240" w:lineRule="auto"/>
        <w:ind w:left="-57" w:right="-57"/>
        <w:jc w:val="both"/>
        <w:rPr>
          <w:rFonts w:ascii="Times New Roman" w:hAnsi="Times New Roman" w:cs="Times New Roman"/>
        </w:rPr>
      </w:pPr>
      <w:r w:rsidRPr="0090436D">
        <w:rPr>
          <w:rFonts w:ascii="Times New Roman" w:hAnsi="Times New Roman" w:cs="Times New Roman"/>
        </w:rPr>
        <w:t xml:space="preserve">Симфония – это многочастное произведение для симфонического оркестра. </w:t>
      </w:r>
      <w:r>
        <w:rPr>
          <w:rFonts w:ascii="Times New Roman" w:hAnsi="Times New Roman" w:cs="Times New Roman"/>
        </w:rPr>
        <w:t>Обычно с</w:t>
      </w:r>
      <w:r w:rsidRPr="0090436D">
        <w:rPr>
          <w:rFonts w:ascii="Times New Roman" w:hAnsi="Times New Roman" w:cs="Times New Roman"/>
        </w:rPr>
        <w:t>имфония содержит 4 части:</w:t>
      </w:r>
    </w:p>
    <w:p w:rsidR="0090436D" w:rsidRPr="0090436D" w:rsidRDefault="0090436D" w:rsidP="0090436D">
      <w:pPr>
        <w:spacing w:after="0" w:line="240" w:lineRule="auto"/>
        <w:ind w:left="-57" w:right="-57"/>
        <w:jc w:val="both"/>
        <w:rPr>
          <w:rFonts w:ascii="Times New Roman" w:hAnsi="Times New Roman" w:cs="Times New Roman"/>
        </w:rPr>
      </w:pPr>
      <w:r w:rsidRPr="0090436D">
        <w:rPr>
          <w:rFonts w:ascii="Times New Roman" w:hAnsi="Times New Roman" w:cs="Times New Roman"/>
        </w:rPr>
        <w:t xml:space="preserve">1 – </w:t>
      </w:r>
      <w:proofErr w:type="gramStart"/>
      <w:r w:rsidRPr="0090436D">
        <w:rPr>
          <w:rFonts w:ascii="Times New Roman" w:hAnsi="Times New Roman" w:cs="Times New Roman"/>
        </w:rPr>
        <w:t>Энергичная</w:t>
      </w:r>
      <w:proofErr w:type="gramEnd"/>
      <w:r w:rsidRPr="0090436D">
        <w:rPr>
          <w:rFonts w:ascii="Times New Roman" w:hAnsi="Times New Roman" w:cs="Times New Roman"/>
        </w:rPr>
        <w:t>, подвижная, пишется в сонатной форме;</w:t>
      </w:r>
    </w:p>
    <w:p w:rsidR="0090436D" w:rsidRPr="0090436D" w:rsidRDefault="0090436D" w:rsidP="0090436D">
      <w:pPr>
        <w:spacing w:after="0" w:line="240" w:lineRule="auto"/>
        <w:ind w:left="-57" w:right="-57"/>
        <w:jc w:val="both"/>
        <w:rPr>
          <w:rFonts w:ascii="Times New Roman" w:hAnsi="Times New Roman" w:cs="Times New Roman"/>
        </w:rPr>
      </w:pPr>
      <w:r w:rsidRPr="0090436D">
        <w:rPr>
          <w:rFonts w:ascii="Times New Roman" w:hAnsi="Times New Roman" w:cs="Times New Roman"/>
        </w:rPr>
        <w:t>2 – Медленная, задумчивая;</w:t>
      </w:r>
    </w:p>
    <w:p w:rsidR="0090436D" w:rsidRPr="0090436D" w:rsidRDefault="0090436D" w:rsidP="0090436D">
      <w:pPr>
        <w:spacing w:after="0" w:line="240" w:lineRule="auto"/>
        <w:ind w:left="-57" w:right="-57"/>
        <w:jc w:val="both"/>
        <w:rPr>
          <w:rFonts w:ascii="Times New Roman" w:hAnsi="Times New Roman" w:cs="Times New Roman"/>
        </w:rPr>
      </w:pPr>
      <w:r w:rsidRPr="0090436D">
        <w:rPr>
          <w:rFonts w:ascii="Times New Roman" w:hAnsi="Times New Roman" w:cs="Times New Roman"/>
        </w:rPr>
        <w:t xml:space="preserve">3 – </w:t>
      </w:r>
      <w:proofErr w:type="gramStart"/>
      <w:r w:rsidRPr="0090436D">
        <w:rPr>
          <w:rFonts w:ascii="Times New Roman" w:hAnsi="Times New Roman" w:cs="Times New Roman"/>
        </w:rPr>
        <w:t>Танцевальная</w:t>
      </w:r>
      <w:proofErr w:type="gramEnd"/>
      <w:r w:rsidRPr="0090436D">
        <w:rPr>
          <w:rFonts w:ascii="Times New Roman" w:hAnsi="Times New Roman" w:cs="Times New Roman"/>
        </w:rPr>
        <w:t xml:space="preserve"> (менуэт);</w:t>
      </w:r>
    </w:p>
    <w:p w:rsidR="0090436D" w:rsidRPr="0090436D" w:rsidRDefault="0090436D" w:rsidP="0090436D">
      <w:pPr>
        <w:spacing w:after="0" w:line="240" w:lineRule="auto"/>
        <w:ind w:left="-57" w:right="-57"/>
        <w:jc w:val="both"/>
        <w:rPr>
          <w:rFonts w:ascii="Times New Roman" w:hAnsi="Times New Roman" w:cs="Times New Roman"/>
        </w:rPr>
      </w:pPr>
      <w:r w:rsidRPr="0090436D">
        <w:rPr>
          <w:rFonts w:ascii="Times New Roman" w:hAnsi="Times New Roman" w:cs="Times New Roman"/>
        </w:rPr>
        <w:t>4 – Энергичная, подвижная.</w:t>
      </w:r>
    </w:p>
    <w:p w:rsidR="0090436D" w:rsidRPr="0090436D" w:rsidRDefault="0090436D" w:rsidP="0090436D">
      <w:pPr>
        <w:spacing w:after="0" w:line="240" w:lineRule="auto"/>
        <w:ind w:left="-57" w:right="-57"/>
        <w:jc w:val="both"/>
        <w:rPr>
          <w:rFonts w:ascii="Times New Roman" w:hAnsi="Times New Roman" w:cs="Times New Roman"/>
        </w:rPr>
      </w:pPr>
      <w:r w:rsidRPr="0090436D">
        <w:rPr>
          <w:rFonts w:ascii="Times New Roman" w:hAnsi="Times New Roman" w:cs="Times New Roman"/>
        </w:rPr>
        <w:t>Сонатная форма строится на противопоставлении двух тем – главной и побочной</w:t>
      </w:r>
      <w:r>
        <w:rPr>
          <w:rFonts w:ascii="Times New Roman" w:hAnsi="Times New Roman" w:cs="Times New Roman"/>
        </w:rPr>
        <w:t xml:space="preserve"> (ГТ и </w:t>
      </w:r>
      <w:proofErr w:type="gramStart"/>
      <w:r>
        <w:rPr>
          <w:rFonts w:ascii="Times New Roman" w:hAnsi="Times New Roman" w:cs="Times New Roman"/>
        </w:rPr>
        <w:t>ПТ</w:t>
      </w:r>
      <w:proofErr w:type="gramEnd"/>
      <w:r>
        <w:rPr>
          <w:rFonts w:ascii="Times New Roman" w:hAnsi="Times New Roman" w:cs="Times New Roman"/>
        </w:rPr>
        <w:t>)</w:t>
      </w:r>
      <w:r w:rsidRPr="0090436D">
        <w:rPr>
          <w:rFonts w:ascii="Times New Roman" w:hAnsi="Times New Roman" w:cs="Times New Roman"/>
        </w:rPr>
        <w:t xml:space="preserve">. </w:t>
      </w:r>
      <w:proofErr w:type="gramStart"/>
      <w:r w:rsidRPr="0090436D">
        <w:rPr>
          <w:rFonts w:ascii="Times New Roman" w:hAnsi="Times New Roman" w:cs="Times New Roman"/>
        </w:rPr>
        <w:t>Обычно главная тема является более активной и целеустремленной, а побочная – более мягкой и изящной.</w:t>
      </w:r>
      <w:proofErr w:type="gramEnd"/>
    </w:p>
    <w:p w:rsidR="0090436D" w:rsidRPr="0090436D" w:rsidRDefault="0090436D" w:rsidP="0090436D">
      <w:pPr>
        <w:spacing w:after="0" w:line="240" w:lineRule="auto"/>
        <w:ind w:left="-57" w:right="-57"/>
        <w:jc w:val="both"/>
        <w:rPr>
          <w:rFonts w:ascii="Times New Roman" w:hAnsi="Times New Roman" w:cs="Times New Roman"/>
        </w:rPr>
      </w:pPr>
      <w:r w:rsidRPr="0090436D">
        <w:rPr>
          <w:rFonts w:ascii="Times New Roman" w:hAnsi="Times New Roman" w:cs="Times New Roman"/>
        </w:rPr>
        <w:t>Главная тема и побочная тема излагаются на протяжении трех основных разделов, которые называются «экспозиция», «разработка» и «реприза». Также могут быть дополнительные разделы – вступление и кода (заключение).</w:t>
      </w:r>
      <w:r>
        <w:rPr>
          <w:rFonts w:ascii="Times New Roman" w:hAnsi="Times New Roman" w:cs="Times New Roman"/>
        </w:rPr>
        <w:t xml:space="preserve"> </w:t>
      </w:r>
      <w:r w:rsidRPr="0090436D">
        <w:rPr>
          <w:rFonts w:ascii="Times New Roman" w:hAnsi="Times New Roman" w:cs="Times New Roman"/>
        </w:rPr>
        <w:t>Вот что происходит в этих разделах:</w:t>
      </w:r>
    </w:p>
    <w:p w:rsidR="0090436D" w:rsidRPr="0090436D" w:rsidRDefault="0090436D" w:rsidP="0090436D">
      <w:pPr>
        <w:spacing w:after="0" w:line="240" w:lineRule="auto"/>
        <w:ind w:left="-57" w:right="-57"/>
        <w:jc w:val="both"/>
        <w:rPr>
          <w:rFonts w:ascii="Times New Roman" w:hAnsi="Times New Roman" w:cs="Times New Roman"/>
        </w:rPr>
      </w:pPr>
      <w:r w:rsidRPr="0090436D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1023" w:type="dxa"/>
        <w:tblLayout w:type="fixed"/>
        <w:tblLook w:val="04A0"/>
      </w:tblPr>
      <w:tblGrid>
        <w:gridCol w:w="1809"/>
        <w:gridCol w:w="2415"/>
        <w:gridCol w:w="2405"/>
        <w:gridCol w:w="1821"/>
        <w:gridCol w:w="2573"/>
      </w:tblGrid>
      <w:tr w:rsidR="0090436D" w:rsidRPr="0090436D" w:rsidTr="0090436D">
        <w:tc>
          <w:tcPr>
            <w:tcW w:w="1809" w:type="dxa"/>
          </w:tcPr>
          <w:p w:rsidR="0090436D" w:rsidRPr="0090436D" w:rsidRDefault="0090436D" w:rsidP="009043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0436D">
              <w:rPr>
                <w:rFonts w:ascii="Times New Roman" w:hAnsi="Times New Roman" w:cs="Times New Roman"/>
              </w:rPr>
              <w:t>Вступление</w:t>
            </w:r>
          </w:p>
        </w:tc>
        <w:tc>
          <w:tcPr>
            <w:tcW w:w="2415" w:type="dxa"/>
          </w:tcPr>
          <w:p w:rsidR="0090436D" w:rsidRPr="0090436D" w:rsidRDefault="0090436D" w:rsidP="009043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0436D">
              <w:rPr>
                <w:rFonts w:ascii="Times New Roman" w:hAnsi="Times New Roman" w:cs="Times New Roman"/>
              </w:rPr>
              <w:t>Экспозиция</w:t>
            </w:r>
          </w:p>
        </w:tc>
        <w:tc>
          <w:tcPr>
            <w:tcW w:w="2405" w:type="dxa"/>
          </w:tcPr>
          <w:p w:rsidR="0090436D" w:rsidRPr="0090436D" w:rsidRDefault="0090436D" w:rsidP="009043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0436D">
              <w:rPr>
                <w:rFonts w:ascii="Times New Roman" w:hAnsi="Times New Roman" w:cs="Times New Roman"/>
              </w:rPr>
              <w:t>Разработка</w:t>
            </w:r>
          </w:p>
        </w:tc>
        <w:tc>
          <w:tcPr>
            <w:tcW w:w="1821" w:type="dxa"/>
          </w:tcPr>
          <w:p w:rsidR="0090436D" w:rsidRPr="0090436D" w:rsidRDefault="0090436D" w:rsidP="009043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0436D">
              <w:rPr>
                <w:rFonts w:ascii="Times New Roman" w:hAnsi="Times New Roman" w:cs="Times New Roman"/>
              </w:rPr>
              <w:t>Реприза</w:t>
            </w:r>
          </w:p>
        </w:tc>
        <w:tc>
          <w:tcPr>
            <w:tcW w:w="2573" w:type="dxa"/>
          </w:tcPr>
          <w:p w:rsidR="0090436D" w:rsidRPr="0090436D" w:rsidRDefault="0090436D" w:rsidP="009043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0436D">
              <w:rPr>
                <w:rFonts w:ascii="Times New Roman" w:hAnsi="Times New Roman" w:cs="Times New Roman"/>
              </w:rPr>
              <w:t>Кода</w:t>
            </w:r>
          </w:p>
        </w:tc>
      </w:tr>
      <w:tr w:rsidR="0090436D" w:rsidRPr="0090436D" w:rsidTr="0090436D">
        <w:tc>
          <w:tcPr>
            <w:tcW w:w="1809" w:type="dxa"/>
          </w:tcPr>
          <w:p w:rsidR="0090436D" w:rsidRPr="0090436D" w:rsidRDefault="0090436D" w:rsidP="0090436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0436D">
              <w:rPr>
                <w:rFonts w:ascii="Times New Roman" w:hAnsi="Times New Roman" w:cs="Times New Roman"/>
              </w:rPr>
              <w:t>Самостоятельный музыкальный материал.</w:t>
            </w:r>
          </w:p>
        </w:tc>
        <w:tc>
          <w:tcPr>
            <w:tcW w:w="2415" w:type="dxa"/>
          </w:tcPr>
          <w:p w:rsidR="0090436D" w:rsidRDefault="0090436D" w:rsidP="0090436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0436D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Т</w:t>
            </w:r>
            <w:r w:rsidRPr="0090436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436D">
              <w:rPr>
                <w:rFonts w:ascii="Times New Roman" w:hAnsi="Times New Roman" w:cs="Times New Roman"/>
              </w:rPr>
              <w:t xml:space="preserve">звучат первый раз. </w:t>
            </w:r>
          </w:p>
          <w:p w:rsidR="0090436D" w:rsidRPr="0090436D" w:rsidRDefault="0090436D" w:rsidP="0090436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0436D">
              <w:rPr>
                <w:rFonts w:ascii="Times New Roman" w:hAnsi="Times New Roman" w:cs="Times New Roman"/>
              </w:rPr>
              <w:t>Слушатель знакомится с этими темами.</w:t>
            </w:r>
          </w:p>
        </w:tc>
        <w:tc>
          <w:tcPr>
            <w:tcW w:w="2405" w:type="dxa"/>
          </w:tcPr>
          <w:p w:rsidR="0090436D" w:rsidRPr="0090436D" w:rsidRDefault="0090436D" w:rsidP="0090436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0436D">
              <w:rPr>
                <w:rFonts w:ascii="Times New Roman" w:hAnsi="Times New Roman" w:cs="Times New Roman"/>
              </w:rPr>
              <w:t xml:space="preserve">Отдельные фрагменты </w:t>
            </w:r>
            <w:r>
              <w:rPr>
                <w:rFonts w:ascii="Times New Roman" w:hAnsi="Times New Roman" w:cs="Times New Roman"/>
              </w:rPr>
              <w:t xml:space="preserve">ГТ и </w:t>
            </w:r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436D">
              <w:rPr>
                <w:rFonts w:ascii="Times New Roman" w:hAnsi="Times New Roman" w:cs="Times New Roman"/>
              </w:rPr>
              <w:t xml:space="preserve">звучат в разных регистрах, в разных тональностях, у разных инструментов. </w:t>
            </w:r>
          </w:p>
        </w:tc>
        <w:tc>
          <w:tcPr>
            <w:tcW w:w="1821" w:type="dxa"/>
          </w:tcPr>
          <w:p w:rsidR="0090436D" w:rsidRPr="0090436D" w:rsidRDefault="0090436D" w:rsidP="0090436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ГТ и </w:t>
            </w:r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gramEnd"/>
            <w:r w:rsidRPr="0090436D">
              <w:rPr>
                <w:rFonts w:ascii="Times New Roman" w:hAnsi="Times New Roman" w:cs="Times New Roman"/>
              </w:rPr>
              <w:t xml:space="preserve"> звучат почти как в экспозиции, но допускаются небольшие изменения.</w:t>
            </w:r>
          </w:p>
        </w:tc>
        <w:tc>
          <w:tcPr>
            <w:tcW w:w="2573" w:type="dxa"/>
          </w:tcPr>
          <w:p w:rsidR="0090436D" w:rsidRPr="0090436D" w:rsidRDefault="0090436D" w:rsidP="0090436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0436D">
              <w:rPr>
                <w:rFonts w:ascii="Times New Roman" w:hAnsi="Times New Roman" w:cs="Times New Roman"/>
              </w:rPr>
              <w:t xml:space="preserve">Кода может строиться на самостоятельном музыкальном материале, но чаще всего в ней слышны «отзвуки» </w:t>
            </w:r>
            <w:r>
              <w:rPr>
                <w:rFonts w:ascii="Times New Roman" w:hAnsi="Times New Roman" w:cs="Times New Roman"/>
              </w:rPr>
              <w:t>ГТ или ПТ</w:t>
            </w:r>
            <w:r w:rsidRPr="0090436D">
              <w:rPr>
                <w:rFonts w:ascii="Times New Roman" w:hAnsi="Times New Roman" w:cs="Times New Roman"/>
              </w:rPr>
              <w:t>.</w:t>
            </w:r>
          </w:p>
        </w:tc>
      </w:tr>
    </w:tbl>
    <w:p w:rsidR="0090436D" w:rsidRPr="0090436D" w:rsidRDefault="0090436D" w:rsidP="00CA78DF">
      <w:pPr>
        <w:spacing w:after="0" w:line="240" w:lineRule="auto"/>
        <w:ind w:left="-57" w:right="-57"/>
      </w:pPr>
    </w:p>
    <w:sectPr w:rsidR="0090436D" w:rsidRPr="0090436D" w:rsidSect="0090436D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436D"/>
    <w:rsid w:val="001D3369"/>
    <w:rsid w:val="002D272A"/>
    <w:rsid w:val="00440243"/>
    <w:rsid w:val="0090436D"/>
    <w:rsid w:val="00B05FC2"/>
    <w:rsid w:val="00C862A2"/>
    <w:rsid w:val="00CA78DF"/>
    <w:rsid w:val="00DE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3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3</cp:revision>
  <dcterms:created xsi:type="dcterms:W3CDTF">2024-04-14T15:29:00Z</dcterms:created>
  <dcterms:modified xsi:type="dcterms:W3CDTF">2024-05-08T11:38:00Z</dcterms:modified>
</cp:coreProperties>
</file>